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D3" w:rsidRDefault="002275D3" w:rsidP="002275D3">
      <w:pPr>
        <w:shd w:val="clear" w:color="auto" w:fill="EFEFEF"/>
        <w:spacing w:before="240" w:after="240" w:line="263" w:lineRule="atLeast"/>
        <w:jc w:val="both"/>
        <w:rPr>
          <w:rFonts w:ascii="Arial" w:hAnsi="Arial" w:cs="Times New Roman"/>
          <w:color w:val="333333"/>
          <w:sz w:val="21"/>
          <w:szCs w:val="21"/>
        </w:rPr>
      </w:pPr>
    </w:p>
    <w:p w:rsidR="002275D3" w:rsidRPr="00394D9C" w:rsidRDefault="002275D3" w:rsidP="002275D3">
      <w:pPr>
        <w:shd w:val="clear" w:color="auto" w:fill="EFEFEF"/>
        <w:spacing w:before="240" w:after="240" w:line="263" w:lineRule="atLeast"/>
        <w:jc w:val="center"/>
        <w:rPr>
          <w:rFonts w:ascii="Arial" w:hAnsi="Arial" w:cs="Times New Roman"/>
          <w:color w:val="333333"/>
          <w:sz w:val="28"/>
          <w:szCs w:val="21"/>
        </w:rPr>
      </w:pPr>
      <w:r w:rsidRPr="00394D9C">
        <w:rPr>
          <w:rFonts w:ascii="Arial" w:hAnsi="Arial" w:cs="Times New Roman"/>
          <w:color w:val="333333"/>
          <w:sz w:val="28"/>
          <w:szCs w:val="21"/>
        </w:rPr>
        <w:t xml:space="preserve">В компетенцию общего собрания членов ТСЖ </w:t>
      </w:r>
      <w:proofErr w:type="gramStart"/>
      <w:r w:rsidRPr="00394D9C">
        <w:rPr>
          <w:rFonts w:ascii="Arial" w:hAnsi="Arial" w:cs="Times New Roman"/>
          <w:color w:val="333333"/>
          <w:sz w:val="28"/>
          <w:szCs w:val="21"/>
        </w:rPr>
        <w:t>входит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1635"/>
        <w:gridCol w:w="3011"/>
        <w:gridCol w:w="1442"/>
      </w:tblGrid>
      <w:tr w:rsidR="002275D3" w:rsidRPr="00394D9C" w:rsidTr="00290883">
        <w:tc>
          <w:tcPr>
            <w:tcW w:w="6400" w:type="dxa"/>
            <w:gridSpan w:val="2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  Компетенция общего собрания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              членов ТСЖ            </w:t>
            </w:r>
          </w:p>
        </w:tc>
        <w:tc>
          <w:tcPr>
            <w:tcW w:w="6080" w:type="dxa"/>
            <w:gridSpan w:val="2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 Легитимность принятых решений  </w:t>
            </w:r>
          </w:p>
        </w:tc>
      </w:tr>
      <w:tr w:rsidR="002275D3" w:rsidRPr="00394D9C" w:rsidTr="00290883">
        <w:tc>
          <w:tcPr>
            <w:tcW w:w="4160" w:type="dxa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 Перечень вопросов  </w:t>
            </w:r>
          </w:p>
        </w:tc>
        <w:tc>
          <w:tcPr>
            <w:tcW w:w="2240" w:type="dxa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 Норма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</w:r>
            <w:hyperlink r:id="rId4" w:history="1">
              <w:r w:rsidRPr="00394D9C">
                <w:rPr>
                  <w:rFonts w:ascii="Arial" w:hAnsi="Arial" w:cs="Times New Roman"/>
                  <w:color w:val="333333"/>
                  <w:sz w:val="21"/>
                  <w:szCs w:val="21"/>
                </w:rPr>
                <w:t>ЖК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РФ  </w:t>
            </w:r>
          </w:p>
        </w:tc>
        <w:tc>
          <w:tcPr>
            <w:tcW w:w="4160" w:type="dxa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    Необходимое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   количество голосов  </w:t>
            </w:r>
          </w:p>
        </w:tc>
        <w:tc>
          <w:tcPr>
            <w:tcW w:w="1920" w:type="dxa"/>
            <w:shd w:val="clear" w:color="auto" w:fill="BFBFBF" w:themeFill="background1" w:themeFillShade="BF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  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Норма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</w:r>
            <w:hyperlink r:id="rId5" w:history="1">
              <w:r w:rsidRPr="00394D9C">
                <w:rPr>
                  <w:rFonts w:ascii="Arial" w:hAnsi="Arial" w:cs="Times New Roman"/>
                  <w:color w:val="333333"/>
                  <w:sz w:val="21"/>
                  <w:szCs w:val="21"/>
                </w:rPr>
                <w:t>ЖК</w:t>
              </w:r>
              <w:proofErr w:type="gramEnd"/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РФ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Изменение устава ТСЖ или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его утверждение в новой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редакции    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6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1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7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Принятие решений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 реорганизации и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ликвидации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ТСЖ,   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назначение   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ликвидационной комиссии,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утверждение  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промежуточного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окончательного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ликвидационных балансов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8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2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Не менее чем 2/3 от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общего числа голосов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членов ТСЖ         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9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Реорганизация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ТСЖ,   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созданного в двух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более МКД, в форме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разделения          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0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3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140    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Большинством от числа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голосов членов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ТСЖ,   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их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общем собрании, при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условии согласия на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такое разделение общего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собрания собственников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помещений в каждом МКД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1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3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140  </w:t>
            </w:r>
          </w:p>
        </w:tc>
      </w:tr>
      <w:tr w:rsidR="002275D3" w:rsidRPr="00394D9C" w:rsidTr="00290883">
        <w:tc>
          <w:tcPr>
            <w:tcW w:w="4160" w:type="dxa"/>
            <w:shd w:val="clear" w:color="auto" w:fill="FBE4D5" w:themeFill="accent2" w:themeFillTint="33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Избрание (переизбрание)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членов правления ТСЖ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и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его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председателя, членов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ревизионной комиссии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(ревизора) товарищества</w:t>
            </w:r>
          </w:p>
        </w:tc>
        <w:tc>
          <w:tcPr>
            <w:tcW w:w="2240" w:type="dxa"/>
            <w:shd w:val="clear" w:color="auto" w:fill="FBE4D5" w:themeFill="accent2" w:themeFillTint="33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2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3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shd w:val="clear" w:color="auto" w:fill="FBE4D5" w:themeFill="accent2" w:themeFillTint="33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shd w:val="clear" w:color="auto" w:fill="FBE4D5" w:themeFill="accent2" w:themeFillTint="33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3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Установление размера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обязательных платежей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взносов членов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товарищества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4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5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lastRenderedPageBreak/>
              <w:t>Утверждение порядка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образования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резервного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фонда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ТСЖ, иных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специальных фондов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товарищества (в том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числе фондов на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проведение текущего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капитального ремонта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общего имущества в МКД)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их использования,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а также утверждение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отчетов об использовании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таких фондов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6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5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7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Принятие решения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 получении заемных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средств, в том числе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банковских кредитов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8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6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Не менее чем 2/3 голосов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 общего числа голосов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членов ТСЖ         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19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Определение направлений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использования дохода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 хозяйственной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деятельности ТСЖ     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0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7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Не менее чем 2/3 голосов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 общего числа голосов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членов ТСЖ         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1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Утверждение годового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плана содержания и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ремонта общего имущества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в МКД, отчета о его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выполнении      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2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8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 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3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Утверждение смет доходов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и расходов ТСЖ на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год,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отчетов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об исполнении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таких смет, аудиторских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заключений (в случае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проведения аудиторских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проверок)   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4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8.1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5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Утверждение годового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отчета о деятельности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правления ТСЖ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6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8.2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7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Утверждение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заключения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ревизионной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комиссии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(ревизора) ТСЖ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8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8.3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29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lastRenderedPageBreak/>
              <w:t>Рассмотрение жалоб на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действия правления ТСЖ,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его председателя и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ревизионной комиссии 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(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ревизора)  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0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9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1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Принятие и изменение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правил внутреннего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 xml:space="preserve">распорядка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ТСЖ,   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положения об оплате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труда, утверждение иных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внутренних документов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ТСЖ         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2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10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 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3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Определение размера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вознаграждения членов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правления товарищества,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в том числе его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председателя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4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11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 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5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Срок внесения платы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за жилое помещение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 коммунальные услуги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6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1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155    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7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Срок представления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платежных документов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собственникам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8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2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155    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39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Внесение платы за все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или некоторые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коммунальные услуги  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(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за исключением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коммунальных услуг,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потребляемых при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использовании общего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имущества в МКД)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ресурсоснабжающим</w:t>
            </w:r>
            <w:proofErr w:type="spell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организациям  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40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6.3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155    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Большинством от </w:t>
            </w:r>
            <w:proofErr w:type="gramStart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общего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числа</w:t>
            </w:r>
            <w:proofErr w:type="gramEnd"/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 xml:space="preserve"> голосов          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присутствующих на общем </w:t>
            </w: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собрании членов ТСЖ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41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Пункт 4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ст. 146   </w:t>
            </w:r>
          </w:p>
        </w:tc>
      </w:tr>
      <w:tr w:rsidR="002275D3" w:rsidRPr="00394D9C" w:rsidTr="00290883"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Другие вопросы         </w:t>
            </w:r>
          </w:p>
        </w:tc>
        <w:tc>
          <w:tcPr>
            <w:tcW w:w="224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hyperlink r:id="rId42" w:history="1">
              <w:r w:rsidRPr="00394D9C">
                <w:rPr>
                  <w:rFonts w:ascii="Arial" w:hAnsi="Arial" w:cs="Times New Roman"/>
                  <w:color w:val="256A90"/>
                  <w:sz w:val="21"/>
                  <w:szCs w:val="21"/>
                  <w:u w:val="single"/>
                </w:rPr>
                <w:t>Подпункт 11</w:t>
              </w:r>
            </w:hyperlink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br/>
              <w:t>п. 2 ст. 145</w:t>
            </w:r>
          </w:p>
        </w:tc>
        <w:tc>
          <w:tcPr>
            <w:tcW w:w="416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-                      </w:t>
            </w:r>
          </w:p>
        </w:tc>
        <w:tc>
          <w:tcPr>
            <w:tcW w:w="1920" w:type="dxa"/>
            <w:hideMark/>
          </w:tcPr>
          <w:p w:rsidR="002275D3" w:rsidRPr="00394D9C" w:rsidRDefault="002275D3" w:rsidP="00290883">
            <w:pPr>
              <w:spacing w:before="240" w:after="240" w:line="263" w:lineRule="atLeast"/>
              <w:rPr>
                <w:rFonts w:ascii="Arial" w:hAnsi="Arial" w:cs="Times New Roman"/>
                <w:color w:val="333333"/>
                <w:sz w:val="21"/>
                <w:szCs w:val="21"/>
              </w:rPr>
            </w:pPr>
            <w:r w:rsidRPr="00394D9C">
              <w:rPr>
                <w:rFonts w:ascii="Arial" w:hAnsi="Arial" w:cs="Times New Roman"/>
                <w:color w:val="333333"/>
                <w:sz w:val="21"/>
                <w:szCs w:val="21"/>
              </w:rPr>
              <w:t>-        </w:t>
            </w:r>
          </w:p>
        </w:tc>
      </w:tr>
    </w:tbl>
    <w:p w:rsidR="002275D3" w:rsidRPr="00394D9C" w:rsidRDefault="002275D3" w:rsidP="002275D3">
      <w:pPr>
        <w:shd w:val="clear" w:color="auto" w:fill="EFEFEF"/>
        <w:spacing w:before="240" w:after="240" w:line="263" w:lineRule="atLeast"/>
        <w:jc w:val="both"/>
        <w:rPr>
          <w:rFonts w:ascii="Arial" w:hAnsi="Arial" w:cs="Times New Roman"/>
          <w:color w:val="333333"/>
          <w:sz w:val="21"/>
          <w:szCs w:val="21"/>
          <w:lang w:val="en-US"/>
        </w:rPr>
      </w:pPr>
      <w:r w:rsidRPr="00394D9C">
        <w:rPr>
          <w:rFonts w:ascii="Arial" w:hAnsi="Arial" w:cs="Times New Roman"/>
          <w:color w:val="333333"/>
          <w:sz w:val="21"/>
          <w:szCs w:val="21"/>
        </w:rPr>
        <w:t> </w:t>
      </w:r>
    </w:p>
    <w:p w:rsidR="00865EA9" w:rsidRDefault="00865EA9">
      <w:bookmarkStart w:id="0" w:name="_GoBack"/>
      <w:bookmarkEnd w:id="0"/>
    </w:p>
    <w:sectPr w:rsidR="0086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D3"/>
    <w:rsid w:val="002275D3"/>
    <w:rsid w:val="008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8A4D-7341-40D9-8A2C-E3605678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D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D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1E533300E6786597C9133D43050806CDCAAAAE11C70AC0EDB2BA8415211582E72D1BAF450EFC1O076I" TargetMode="External"/><Relationship Id="rId13" Type="http://schemas.openxmlformats.org/officeDocument/2006/relationships/hyperlink" Target="consultantplus://offline/ref=3321E533300E6786597C9133D43050806CDCAAAAE11C70AC0EDB2BA8415211582E72D1BDOF77I" TargetMode="External"/><Relationship Id="rId18" Type="http://schemas.openxmlformats.org/officeDocument/2006/relationships/hyperlink" Target="consultantplus://offline/ref=3321E533300E6786597C9133D43050806CDCAAAAE11C70AC0EDB2BA8415211582E72D1BAF451E7C4O079I" TargetMode="External"/><Relationship Id="rId26" Type="http://schemas.openxmlformats.org/officeDocument/2006/relationships/hyperlink" Target="consultantplus://offline/ref=3321E533300E6786597C9133D43050806CDCAAAAE11C70AC0EDB2BA8415211582E72D1BAF450EFCEO071I" TargetMode="External"/><Relationship Id="rId39" Type="http://schemas.openxmlformats.org/officeDocument/2006/relationships/hyperlink" Target="consultantplus://offline/ref=3321E533300E6786597C9133D43050806CDCAAAAE11C70AC0EDB2BA8415211582E72D1BDOF7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21E533300E6786597C9133D43050806CDCAAAAE11C70AC0EDB2BA8415211582E72D1BDOF77I" TargetMode="External"/><Relationship Id="rId34" Type="http://schemas.openxmlformats.org/officeDocument/2006/relationships/hyperlink" Target="consultantplus://offline/ref=3321E533300E6786597C9133D43050806CDCAAAAE11C70AC0EDB2BA8415211582E72D1BAF450EFCEO074I" TargetMode="External"/><Relationship Id="rId42" Type="http://schemas.openxmlformats.org/officeDocument/2006/relationships/hyperlink" Target="consultantplus://offline/ref=3321E533300E6786597C9133D43050806CDCAAAAE11C70AC0EDB2BA8415211582E72D1BAF450EFCEO074I" TargetMode="External"/><Relationship Id="rId7" Type="http://schemas.openxmlformats.org/officeDocument/2006/relationships/hyperlink" Target="consultantplus://offline/ref=3321E533300E6786597C9133D43050806CDCAAAAE11C70AC0EDB2BA8415211582E72D1BDOF77I" TargetMode="External"/><Relationship Id="rId12" Type="http://schemas.openxmlformats.org/officeDocument/2006/relationships/hyperlink" Target="consultantplus://offline/ref=3321E533300E6786597C9133D43050806CDCAAAAE11C70AC0EDB2BA8415211582E72D1BAF450EFC1O077I" TargetMode="External"/><Relationship Id="rId17" Type="http://schemas.openxmlformats.org/officeDocument/2006/relationships/hyperlink" Target="consultantplus://offline/ref=3321E533300E6786597C9133D43050806CDCAAAAE11C70AC0EDB2BA8415211582E72D1BDOF77I" TargetMode="External"/><Relationship Id="rId25" Type="http://schemas.openxmlformats.org/officeDocument/2006/relationships/hyperlink" Target="consultantplus://offline/ref=3321E533300E6786597C9133D43050806CDCAAAAE11C70AC0EDB2BA8415211582E72D1BDOF77I" TargetMode="External"/><Relationship Id="rId33" Type="http://schemas.openxmlformats.org/officeDocument/2006/relationships/hyperlink" Target="consultantplus://offline/ref=3321E533300E6786597C9133D43050806CDCAAAAE11C70AC0EDB2BA8415211582E72D1BDOF77I" TargetMode="External"/><Relationship Id="rId38" Type="http://schemas.openxmlformats.org/officeDocument/2006/relationships/hyperlink" Target="consultantplus://offline/ref=3321E533300E6786597C9133D43050806CDCAAAAE11C70AC0EDB2BA8415211582E72D1BAF450EFCFO07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21E533300E6786597C9133D43050806CDCAAAAE11C70AC0EDB2BA8415211582E72D1BAF450EFC1O078I" TargetMode="External"/><Relationship Id="rId20" Type="http://schemas.openxmlformats.org/officeDocument/2006/relationships/hyperlink" Target="consultantplus://offline/ref=3321E533300E6786597C9133D43050806CDCAAAAE11C70AC0EDB2BA8415211582E72D1BAF451E7C5O070I" TargetMode="External"/><Relationship Id="rId29" Type="http://schemas.openxmlformats.org/officeDocument/2006/relationships/hyperlink" Target="consultantplus://offline/ref=3321E533300E6786597C9133D43050806CDCAAAAE11C70AC0EDB2BA8415211582E72D1BDOF77I" TargetMode="External"/><Relationship Id="rId41" Type="http://schemas.openxmlformats.org/officeDocument/2006/relationships/hyperlink" Target="consultantplus://offline/ref=3321E533300E6786597C9133D43050806CDCAAAAE11C70AC0EDB2BA8415211582E72D1BDOF7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21E533300E6786597C9133D43050806CDCAAAAE11C70AC0EDB2BA8415211582E72D1BAF450EFC1O075I" TargetMode="External"/><Relationship Id="rId11" Type="http://schemas.openxmlformats.org/officeDocument/2006/relationships/hyperlink" Target="consultantplus://offline/ref=3321E533300E6786597C9133D43050806CDCAAAAE11C70AC0EDB2BA8415211582E72D1BAF450EFC3O075I" TargetMode="External"/><Relationship Id="rId24" Type="http://schemas.openxmlformats.org/officeDocument/2006/relationships/hyperlink" Target="consultantplus://offline/ref=3321E533300E6786597C9133D43050806CDCAAAAE11C70AC0EDB2BA8415211582E72D1BAF450EFCEO070I" TargetMode="External"/><Relationship Id="rId32" Type="http://schemas.openxmlformats.org/officeDocument/2006/relationships/hyperlink" Target="consultantplus://offline/ref=3321E533300E6786597C9133D43050806CDCAAAAE11C70AC0EDB2BA8415211582E72D1BAF450EFCEO073I" TargetMode="External"/><Relationship Id="rId37" Type="http://schemas.openxmlformats.org/officeDocument/2006/relationships/hyperlink" Target="consultantplus://offline/ref=3321E533300E6786597C9133D43050806CDCAAAAE11C70AC0EDB2BA8415211582E72D1BDOF77I" TargetMode="External"/><Relationship Id="rId40" Type="http://schemas.openxmlformats.org/officeDocument/2006/relationships/hyperlink" Target="consultantplus://offline/ref=3321E533300E6786597C9133D43050806CDCAAAAE11C70AC0EDB2BA8415211582E72D1BAF450EEC6O073I" TargetMode="External"/><Relationship Id="rId5" Type="http://schemas.openxmlformats.org/officeDocument/2006/relationships/hyperlink" Target="consultantplus://offline/ref=3321E533300E6786597C9133D43050806CDCAAAAE11C70AC0EDB2BA841O572I" TargetMode="External"/><Relationship Id="rId15" Type="http://schemas.openxmlformats.org/officeDocument/2006/relationships/hyperlink" Target="consultantplus://offline/ref=3321E533300E6786597C9133D43050806CDCAAAAE11C70AC0EDB2BA8415211582E72D1BDOF77I" TargetMode="External"/><Relationship Id="rId23" Type="http://schemas.openxmlformats.org/officeDocument/2006/relationships/hyperlink" Target="consultantplus://offline/ref=3321E533300E6786597C9133D43050806CDCAAAAE11C70AC0EDB2BA8415211582E72D1BDOF77I" TargetMode="External"/><Relationship Id="rId28" Type="http://schemas.openxmlformats.org/officeDocument/2006/relationships/hyperlink" Target="consultantplus://offline/ref=3321E533300E6786597C9133D43050806CDCAAAAE11C70AC0EDB2BA8415211582E72D1BAF450EFCEO072I" TargetMode="External"/><Relationship Id="rId36" Type="http://schemas.openxmlformats.org/officeDocument/2006/relationships/hyperlink" Target="consultantplus://offline/ref=3321E533300E6786597C9133D43050806CDCAAAAE11C70AC0EDB2BA8415211582E72D1BAF450EFCFO076I" TargetMode="External"/><Relationship Id="rId10" Type="http://schemas.openxmlformats.org/officeDocument/2006/relationships/hyperlink" Target="consultantplus://offline/ref=3321E533300E6786597C9133D43050806CDCAAAAE11C70AC0EDB2BA8415211582E72D1BAF450EFC3O075I" TargetMode="External"/><Relationship Id="rId19" Type="http://schemas.openxmlformats.org/officeDocument/2006/relationships/hyperlink" Target="consultantplus://offline/ref=3321E533300E6786597C9133D43050806CDCAAAAE11C70AC0EDB2BA8415211582E72D1BDOF77I" TargetMode="External"/><Relationship Id="rId31" Type="http://schemas.openxmlformats.org/officeDocument/2006/relationships/hyperlink" Target="consultantplus://offline/ref=3321E533300E6786597C9133D43050806CDCAAAAE11C70AC0EDB2BA8415211582E72D1BDOF77I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3321E533300E6786597C9133D43050806CDCAAAAE11C70AC0EDB2BA841O572I" TargetMode="External"/><Relationship Id="rId9" Type="http://schemas.openxmlformats.org/officeDocument/2006/relationships/hyperlink" Target="consultantplus://offline/ref=3321E533300E6786597C9133D43050806CDCAAAAE11C70AC0EDB2BA8415211582E72D1BDOF77I" TargetMode="External"/><Relationship Id="rId14" Type="http://schemas.openxmlformats.org/officeDocument/2006/relationships/hyperlink" Target="consultantplus://offline/ref=3321E533300E6786597C9133D43050806CDCAAAAE11C70AC0EDB2BA8415211582E72D1BAF451E7C4O077I" TargetMode="External"/><Relationship Id="rId22" Type="http://schemas.openxmlformats.org/officeDocument/2006/relationships/hyperlink" Target="consultantplus://offline/ref=3321E533300E6786597C9133D43050806CDCAAAAE11C70AC0EDB2BA8415211582E72D1BAF450EFC1O079I" TargetMode="External"/><Relationship Id="rId27" Type="http://schemas.openxmlformats.org/officeDocument/2006/relationships/hyperlink" Target="consultantplus://offline/ref=3321E533300E6786597C9133D43050806CDCAAAAE11C70AC0EDB2BA8415211582E72D1BDOF77I" TargetMode="External"/><Relationship Id="rId30" Type="http://schemas.openxmlformats.org/officeDocument/2006/relationships/hyperlink" Target="consultantplus://offline/ref=3321E533300E6786597C9133D43050806CDCAAAAE11C70AC0EDB2BA8415211582E72D1BAF451E7C5O072I" TargetMode="External"/><Relationship Id="rId35" Type="http://schemas.openxmlformats.org/officeDocument/2006/relationships/hyperlink" Target="consultantplus://offline/ref=3321E533300E6786597C9133D43050806CDCAAAAE11C70AC0EDB2BA8415211582E72D1BDOF77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2016-08-03T09:45:00Z</dcterms:created>
  <dcterms:modified xsi:type="dcterms:W3CDTF">2016-08-03T09:47:00Z</dcterms:modified>
</cp:coreProperties>
</file>